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Learning Outcomes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Newton’s second law and the equation of thrust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combustion and the  Brayton cycle create pressure and velocity differentials to produce thrust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 understanding of Brayton’s cycle to solve the “back of the chapter” homework problems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Which type of jet engine produces greater thrust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contribution of each component to the thrust produced 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EML Learning Outcomes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nominal thrust of a large modern commercial jet engine, and the approximate cost, lifetime, and fuel consumption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components (inlet, diffuser, compressor, combustion chamber, turbine, and nozzle) are interconnected and contribute to thrust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Why cruising altitude is an important parameter for optimizing efficiency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 understanding of engines to devise a laboratory experiment, measuring thrust of a simple electric fan with force sensors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Which type of jet engine produces greater thrust/cost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Opportunities to increase thrust with an assessment of both </w:t>
      </w:r>
      <w:r w:rsidDel="00000000" w:rsidR="00000000" w:rsidRPr="00000000">
        <w:rPr>
          <w:i w:val="1"/>
          <w:rtl w:val="0"/>
        </w:rPr>
        <w:t xml:space="preserve">feasibility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i w:val="1"/>
          <w:rtl w:val="0"/>
        </w:rPr>
        <w:t xml:space="preserve">viability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better electric fan (increased thrust)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